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D53176" w14:textId="77777777" w:rsidR="00C5213D" w:rsidRDefault="00C5213D"/>
    <w:p w14:paraId="72C13073" w14:textId="39B5F808" w:rsidR="00C5213D" w:rsidRDefault="00C6382B">
      <w:pPr>
        <w:spacing w:line="360" w:lineRule="auto"/>
        <w:jc w:val="center"/>
        <w:outlineLvl w:val="0"/>
        <w:rPr>
          <w:sz w:val="24"/>
        </w:rPr>
      </w:pPr>
      <w:bookmarkStart w:id="0" w:name="_Toc15757"/>
      <w:r>
        <w:rPr>
          <w:rFonts w:hint="eastAsia"/>
          <w:b/>
          <w:sz w:val="36"/>
          <w:szCs w:val="36"/>
        </w:rPr>
        <w:t>调研</w:t>
      </w:r>
      <w:r w:rsidR="00934BFF">
        <w:rPr>
          <w:b/>
          <w:sz w:val="36"/>
          <w:szCs w:val="36"/>
        </w:rPr>
        <w:t>需求</w:t>
      </w:r>
      <w:bookmarkEnd w:id="0"/>
    </w:p>
    <w:p w14:paraId="7F2E3E69" w14:textId="77777777" w:rsidR="00C5213D" w:rsidRDefault="00934BFF">
      <w:pPr>
        <w:pStyle w:val="a7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项目概况</w:t>
      </w:r>
    </w:p>
    <w:p w14:paraId="5A7B00EF" w14:textId="22F81B56" w:rsidR="00C5213D" w:rsidRPr="00D66848" w:rsidRDefault="00934BFF" w:rsidP="00FB4C16">
      <w:pPr>
        <w:numPr>
          <w:ilvl w:val="0"/>
          <w:numId w:val="2"/>
        </w:numPr>
        <w:spacing w:line="360" w:lineRule="auto"/>
        <w:ind w:firstLine="424"/>
        <w:rPr>
          <w:rFonts w:ascii="宋体" w:hAnsi="宋体"/>
          <w:szCs w:val="21"/>
        </w:rPr>
      </w:pPr>
      <w:r w:rsidRPr="00D66848">
        <w:rPr>
          <w:rFonts w:ascii="宋体" w:hAnsi="宋体" w:cs="宋体" w:hint="eastAsia"/>
          <w:szCs w:val="21"/>
        </w:rPr>
        <w:t>本项目为常州市中医院</w:t>
      </w:r>
      <w:r w:rsidR="00C6382B" w:rsidRPr="00D66848">
        <w:rPr>
          <w:rFonts w:ascii="宋体" w:hAnsi="宋体" w:cs="宋体" w:hint="eastAsia"/>
          <w:szCs w:val="21"/>
        </w:rPr>
        <w:t>7楼</w:t>
      </w:r>
      <w:r w:rsidR="00FB4C16" w:rsidRPr="00D66848">
        <w:rPr>
          <w:rFonts w:ascii="宋体" w:hAnsi="宋体" w:cs="宋体" w:hint="eastAsia"/>
          <w:szCs w:val="21"/>
        </w:rPr>
        <w:t>学术</w:t>
      </w:r>
      <w:r w:rsidRPr="00D66848">
        <w:rPr>
          <w:rFonts w:ascii="宋体" w:hAnsi="宋体" w:cs="宋体" w:hint="eastAsia"/>
          <w:szCs w:val="21"/>
        </w:rPr>
        <w:t>报告厅</w:t>
      </w:r>
      <w:r w:rsidR="00C6382B" w:rsidRPr="00D66848">
        <w:rPr>
          <w:rFonts w:ascii="宋体" w:hAnsi="宋体" w:cs="宋体" w:hint="eastAsia"/>
          <w:szCs w:val="21"/>
        </w:rPr>
        <w:t>智能化</w:t>
      </w:r>
      <w:r w:rsidRPr="00D66848">
        <w:rPr>
          <w:rFonts w:ascii="Segoe UI" w:eastAsia="Segoe UI" w:hAnsi="Segoe UI" w:cs="Segoe UI"/>
          <w:szCs w:val="21"/>
          <w:shd w:val="clear" w:color="auto" w:fill="FAFAFA"/>
        </w:rPr>
        <w:t>系统</w:t>
      </w:r>
      <w:r w:rsidRPr="00D66848">
        <w:rPr>
          <w:rFonts w:ascii="宋体" w:hAnsi="宋体" w:cs="宋体" w:hint="eastAsia"/>
          <w:szCs w:val="21"/>
        </w:rPr>
        <w:t>。</w:t>
      </w:r>
    </w:p>
    <w:p w14:paraId="4A000F37" w14:textId="14F91C95" w:rsidR="00C5213D" w:rsidRPr="00C6382B" w:rsidRDefault="00C6382B">
      <w:pPr>
        <w:numPr>
          <w:ilvl w:val="0"/>
          <w:numId w:val="2"/>
        </w:numPr>
        <w:spacing w:line="360" w:lineRule="auto"/>
        <w:ind w:firstLine="424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初步设计见图纸</w:t>
      </w:r>
      <w:r w:rsidR="00934BFF">
        <w:rPr>
          <w:rFonts w:ascii="宋体" w:hAnsi="宋体" w:cs="宋体" w:hint="eastAsia"/>
          <w:szCs w:val="21"/>
        </w:rPr>
        <w:t>。</w:t>
      </w:r>
    </w:p>
    <w:p w14:paraId="33CA3328" w14:textId="19CD3312" w:rsidR="00C6382B" w:rsidRDefault="00C6382B">
      <w:pPr>
        <w:numPr>
          <w:ilvl w:val="0"/>
          <w:numId w:val="2"/>
        </w:numPr>
        <w:spacing w:line="360" w:lineRule="auto"/>
        <w:ind w:firstLine="424"/>
        <w:rPr>
          <w:rFonts w:ascii="宋体" w:hAnsi="宋体"/>
          <w:szCs w:val="21"/>
        </w:rPr>
      </w:pPr>
      <w:r>
        <w:rPr>
          <w:rFonts w:ascii="宋体" w:hAnsi="宋体" w:cs="宋体" w:hint="eastAsia"/>
          <w:szCs w:val="21"/>
        </w:rPr>
        <w:t>供应商</w:t>
      </w:r>
      <w:r w:rsidR="00D66848">
        <w:rPr>
          <w:rFonts w:ascii="宋体" w:hAnsi="宋体" w:cs="宋体" w:hint="eastAsia"/>
          <w:szCs w:val="21"/>
        </w:rPr>
        <w:t>可</w:t>
      </w:r>
      <w:r>
        <w:rPr>
          <w:rFonts w:ascii="宋体" w:hAnsi="宋体" w:cs="宋体"/>
          <w:szCs w:val="21"/>
        </w:rPr>
        <w:t>根据</w:t>
      </w:r>
      <w:r>
        <w:rPr>
          <w:rFonts w:ascii="宋体" w:hAnsi="宋体" w:cs="宋体" w:hint="eastAsia"/>
          <w:szCs w:val="21"/>
        </w:rPr>
        <w:t>下述</w:t>
      </w:r>
      <w:r w:rsidR="0009402F">
        <w:rPr>
          <w:rFonts w:ascii="宋体" w:hAnsi="宋体" w:cs="宋体" w:hint="eastAsia"/>
          <w:szCs w:val="21"/>
        </w:rPr>
        <w:t>系统功能</w:t>
      </w:r>
      <w:bookmarkStart w:id="1" w:name="_GoBack"/>
      <w:bookmarkEnd w:id="1"/>
      <w:r>
        <w:rPr>
          <w:rFonts w:ascii="宋体" w:hAnsi="宋体" w:cs="宋体"/>
          <w:szCs w:val="21"/>
        </w:rPr>
        <w:t>需求，结合</w:t>
      </w:r>
      <w:r w:rsidR="00D66848">
        <w:rPr>
          <w:rFonts w:ascii="宋体" w:hAnsi="宋体" w:cs="宋体" w:hint="eastAsia"/>
          <w:szCs w:val="21"/>
        </w:rPr>
        <w:t>施工</w:t>
      </w:r>
      <w:r>
        <w:rPr>
          <w:rFonts w:ascii="宋体" w:hAnsi="宋体" w:cs="宋体"/>
          <w:szCs w:val="21"/>
        </w:rPr>
        <w:t>现场情况，提供</w:t>
      </w:r>
      <w:r w:rsidR="00D66848">
        <w:rPr>
          <w:rFonts w:ascii="宋体" w:hAnsi="宋体" w:cs="宋体" w:hint="eastAsia"/>
          <w:szCs w:val="21"/>
        </w:rPr>
        <w:t>更为合理</w:t>
      </w:r>
      <w:r w:rsidR="00D66848">
        <w:rPr>
          <w:rFonts w:ascii="宋体" w:hAnsi="宋体" w:cs="宋体"/>
          <w:szCs w:val="21"/>
        </w:rPr>
        <w:t>的</w:t>
      </w:r>
      <w:r>
        <w:rPr>
          <w:rFonts w:ascii="宋体" w:hAnsi="宋体" w:cs="宋体"/>
          <w:szCs w:val="21"/>
        </w:rPr>
        <w:t>深度</w:t>
      </w:r>
      <w:r>
        <w:rPr>
          <w:rFonts w:ascii="宋体" w:hAnsi="宋体" w:cs="宋体" w:hint="eastAsia"/>
          <w:szCs w:val="21"/>
        </w:rPr>
        <w:t>设计</w:t>
      </w:r>
      <w:r>
        <w:rPr>
          <w:rFonts w:ascii="宋体" w:hAnsi="宋体" w:cs="宋体"/>
          <w:szCs w:val="21"/>
        </w:rPr>
        <w:t>方案</w:t>
      </w:r>
      <w:r>
        <w:rPr>
          <w:rFonts w:ascii="宋体" w:hAnsi="宋体" w:cs="宋体" w:hint="eastAsia"/>
          <w:szCs w:val="21"/>
        </w:rPr>
        <w:t>，形成需求</w:t>
      </w:r>
      <w:r>
        <w:rPr>
          <w:rFonts w:ascii="宋体" w:hAnsi="宋体" w:cs="宋体"/>
          <w:szCs w:val="21"/>
        </w:rPr>
        <w:t>清单，包括：</w:t>
      </w:r>
      <w:r>
        <w:rPr>
          <w:rFonts w:ascii="宋体" w:hAnsi="宋体" w:cs="宋体" w:hint="eastAsia"/>
          <w:szCs w:val="21"/>
        </w:rPr>
        <w:t>品牌</w:t>
      </w:r>
      <w:r>
        <w:rPr>
          <w:rFonts w:ascii="宋体" w:hAnsi="宋体" w:cs="宋体"/>
          <w:szCs w:val="21"/>
        </w:rPr>
        <w:t>、型号、</w:t>
      </w:r>
      <w:r>
        <w:rPr>
          <w:rFonts w:ascii="宋体" w:hAnsi="宋体" w:cs="宋体" w:hint="eastAsia"/>
          <w:szCs w:val="21"/>
        </w:rPr>
        <w:t>技术参数</w:t>
      </w:r>
      <w:r>
        <w:rPr>
          <w:rFonts w:ascii="宋体" w:hAnsi="宋体" w:cs="宋体"/>
          <w:szCs w:val="21"/>
        </w:rPr>
        <w:t>、数量、单价、</w:t>
      </w:r>
      <w:r>
        <w:rPr>
          <w:rFonts w:ascii="宋体" w:hAnsi="宋体" w:cs="宋体" w:hint="eastAsia"/>
          <w:szCs w:val="21"/>
        </w:rPr>
        <w:t>总价</w:t>
      </w:r>
      <w:r w:rsidR="00D66848">
        <w:rPr>
          <w:rFonts w:ascii="宋体" w:hAnsi="宋体" w:cs="宋体" w:hint="eastAsia"/>
          <w:szCs w:val="21"/>
        </w:rPr>
        <w:t>、</w:t>
      </w:r>
      <w:r w:rsidR="00D66848">
        <w:rPr>
          <w:rFonts w:ascii="宋体" w:hAnsi="宋体" w:cs="宋体"/>
          <w:szCs w:val="21"/>
        </w:rPr>
        <w:t>质保期</w:t>
      </w:r>
      <w:r w:rsidR="00D66848">
        <w:rPr>
          <w:rFonts w:ascii="宋体" w:hAnsi="宋体" w:cs="宋体" w:hint="eastAsia"/>
          <w:szCs w:val="21"/>
        </w:rPr>
        <w:t>。</w:t>
      </w:r>
    </w:p>
    <w:p w14:paraId="20FC553C" w14:textId="49687D6B" w:rsidR="00C5213D" w:rsidRDefault="0009402F">
      <w:pPr>
        <w:pStyle w:val="a7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系统</w:t>
      </w:r>
      <w:r>
        <w:rPr>
          <w:rFonts w:ascii="Times New Roman" w:hAnsi="Times New Roman"/>
          <w:b/>
          <w:sz w:val="24"/>
          <w:szCs w:val="24"/>
        </w:rPr>
        <w:t>功能</w:t>
      </w:r>
      <w:r w:rsidR="00934BFF">
        <w:rPr>
          <w:rFonts w:ascii="Times New Roman" w:hAnsi="Times New Roman" w:hint="eastAsia"/>
          <w:b/>
          <w:sz w:val="24"/>
          <w:szCs w:val="24"/>
        </w:rPr>
        <w:t>需求</w:t>
      </w:r>
    </w:p>
    <w:p w14:paraId="4A3ECC31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Cs w:val="21"/>
        </w:rPr>
        <w:t>（一）视频显示系统</w:t>
      </w:r>
      <w:r>
        <w:rPr>
          <w:rFonts w:ascii="宋体" w:hAnsi="宋体" w:cs="宋体" w:hint="eastAsia"/>
          <w:sz w:val="24"/>
        </w:rPr>
        <w:t>：</w:t>
      </w:r>
    </w:p>
    <w:p w14:paraId="0C85E1ED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1.采用全彩LED屏，显示面积22.5792平米。支持双1080P显示，支持多种分屏模式，电源、接收卡、转接板采用三合一设计，提高整屏的稳定性，保证会议效果。</w:t>
      </w:r>
    </w:p>
    <w:p w14:paraId="2A80C2E3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2.采用前维护方式安装于报告厅舞台墙面。</w:t>
      </w:r>
    </w:p>
    <w:p w14:paraId="392567FD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3.采用点间距为4.75mm的模组单红LED屏，显示面积4.86平米。</w:t>
      </w:r>
    </w:p>
    <w:p w14:paraId="3E10C96E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4.支持高清信号输入≥8路；输出≥8路。</w:t>
      </w:r>
    </w:p>
    <w:p w14:paraId="45EF0614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5.观众区前侧安装2台65英寸可移动返看显示屏。</w:t>
      </w:r>
    </w:p>
    <w:p w14:paraId="560A8229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6.在控制室设置2台控制PC，不低于I7/16G/1T/4G独显的配置。</w:t>
      </w:r>
    </w:p>
    <w:p w14:paraId="6918FA66" w14:textId="77777777" w:rsidR="00C5213D" w:rsidRDefault="00934BFF">
      <w:pPr>
        <w:widowControl/>
        <w:spacing w:line="500" w:lineRule="atLeast"/>
        <w:ind w:firstLineChars="200" w:firstLine="420"/>
        <w:rPr>
          <w:rFonts w:ascii="仿宋_GB2312" w:eastAsia="仿宋_GB2312" w:cs="Segoe UI"/>
          <w:sz w:val="28"/>
          <w:szCs w:val="28"/>
        </w:rPr>
      </w:pPr>
      <w:r>
        <w:rPr>
          <w:rFonts w:ascii="宋体" w:hAnsi="宋体" w:cs="宋体" w:hint="eastAsia"/>
          <w:szCs w:val="21"/>
        </w:rPr>
        <w:t>7.采用无线传屏，支持4台电脑切换信号显示。</w:t>
      </w:r>
    </w:p>
    <w:p w14:paraId="1996843D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（二）音频系统：</w:t>
      </w:r>
    </w:p>
    <w:p w14:paraId="3FF761F5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1.扩声系统</w:t>
      </w:r>
    </w:p>
    <w:p w14:paraId="20FF57FA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扩声要求声音清晰，失真小，无啸叫。舞台区域，超低音箱嵌入与舞台安装，高度不高于35CM，功率不低于600W，要增加透声布；返听音箱采用吸顶隐藏安装，不占用舞台空间，功率不低于150W；观众区域，全频音箱贴顶壁挂。施工完成后需现场使用声场测试仪测试，并提供测试数据，确保能达到设计标准。</w:t>
      </w:r>
    </w:p>
    <w:p w14:paraId="131BD1D0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为保障报告厅会议系统效果，要求投标时提供EASE声场模拟图、分析报告。</w:t>
      </w:r>
    </w:p>
    <w:p w14:paraId="6201155E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参考设计标准：</w:t>
      </w:r>
    </w:p>
    <w:p w14:paraId="044971A6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(1)《厅堂、体育场馆扩声系统设计规范》（GB/T 28049-2011）会议类扩声系统声学特性指标（二级）。</w:t>
      </w:r>
    </w:p>
    <w:tbl>
      <w:tblPr>
        <w:tblW w:w="476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7"/>
        <w:gridCol w:w="4971"/>
      </w:tblGrid>
      <w:tr w:rsidR="00C5213D" w14:paraId="7C25F918" w14:textId="77777777">
        <w:trPr>
          <w:jc w:val="center"/>
        </w:trPr>
        <w:tc>
          <w:tcPr>
            <w:tcW w:w="18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013F0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指标</w:t>
            </w:r>
          </w:p>
        </w:tc>
        <w:tc>
          <w:tcPr>
            <w:tcW w:w="31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8305D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GBT 28049-2011扩声指标一级要求</w:t>
            </w:r>
          </w:p>
        </w:tc>
      </w:tr>
      <w:tr w:rsidR="00C5213D" w14:paraId="62663DA6" w14:textId="77777777">
        <w:trPr>
          <w:jc w:val="center"/>
        </w:trPr>
        <w:tc>
          <w:tcPr>
            <w:tcW w:w="1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020F2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最大声压级</w:t>
            </w:r>
          </w:p>
        </w:tc>
        <w:tc>
          <w:tcPr>
            <w:tcW w:w="3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59951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额定通率带125-4000 Hz最大声压级：≥95dB</w:t>
            </w:r>
          </w:p>
        </w:tc>
      </w:tr>
      <w:tr w:rsidR="00C5213D" w14:paraId="328723BC" w14:textId="77777777">
        <w:trPr>
          <w:jc w:val="center"/>
        </w:trPr>
        <w:tc>
          <w:tcPr>
            <w:tcW w:w="1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DEFFB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语言传输指数STI</w:t>
            </w:r>
          </w:p>
        </w:tc>
        <w:tc>
          <w:tcPr>
            <w:tcW w:w="3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719D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≥0.5</w:t>
            </w:r>
          </w:p>
        </w:tc>
      </w:tr>
      <w:tr w:rsidR="00C5213D" w14:paraId="1C43B1B9" w14:textId="77777777">
        <w:trPr>
          <w:jc w:val="center"/>
        </w:trPr>
        <w:tc>
          <w:tcPr>
            <w:tcW w:w="1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30B55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辅音清晰度损失率（Alcons）</w:t>
            </w:r>
          </w:p>
        </w:tc>
        <w:tc>
          <w:tcPr>
            <w:tcW w:w="3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B59C0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Alcons≤3%-7%</w:t>
            </w:r>
          </w:p>
        </w:tc>
      </w:tr>
      <w:tr w:rsidR="00C5213D" w14:paraId="7E6419A8" w14:textId="77777777">
        <w:trPr>
          <w:jc w:val="center"/>
        </w:trPr>
        <w:tc>
          <w:tcPr>
            <w:tcW w:w="184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94ED0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声场不均与度</w:t>
            </w:r>
          </w:p>
        </w:tc>
        <w:tc>
          <w:tcPr>
            <w:tcW w:w="31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4219E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125Hz-4000Hz内大部分区域：≤12 dB</w:t>
            </w:r>
          </w:p>
        </w:tc>
      </w:tr>
    </w:tbl>
    <w:p w14:paraId="18D7730E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(2)混响时间设计依据及标准：建筑设计规范（JGJ57——2000）混响时间：</w:t>
      </w:r>
    </w:p>
    <w:tbl>
      <w:tblPr>
        <w:tblW w:w="4733" w:type="pct"/>
        <w:tblInd w:w="25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6"/>
        <w:gridCol w:w="4838"/>
      </w:tblGrid>
      <w:tr w:rsidR="00C5213D" w14:paraId="5A998C64" w14:textId="77777777">
        <w:tc>
          <w:tcPr>
            <w:tcW w:w="19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0727E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频率特性</w:t>
            </w:r>
          </w:p>
        </w:tc>
        <w:tc>
          <w:tcPr>
            <w:tcW w:w="30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E57C7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混响时间(S)</w:t>
            </w:r>
          </w:p>
        </w:tc>
      </w:tr>
      <w:tr w:rsidR="00C5213D" w14:paraId="31307AD5" w14:textId="77777777">
        <w:tc>
          <w:tcPr>
            <w:tcW w:w="1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7E04E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125Hz</w:t>
            </w:r>
          </w:p>
        </w:tc>
        <w:tc>
          <w:tcPr>
            <w:tcW w:w="30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054D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1.10～1.68</w:t>
            </w:r>
          </w:p>
        </w:tc>
      </w:tr>
      <w:tr w:rsidR="00C5213D" w14:paraId="4C60F10F" w14:textId="77777777">
        <w:tc>
          <w:tcPr>
            <w:tcW w:w="1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95D53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250Hz</w:t>
            </w:r>
          </w:p>
        </w:tc>
        <w:tc>
          <w:tcPr>
            <w:tcW w:w="30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3AA6B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1.10～1.54</w:t>
            </w:r>
          </w:p>
        </w:tc>
      </w:tr>
      <w:tr w:rsidR="00C5213D" w14:paraId="077AF463" w14:textId="77777777">
        <w:tc>
          <w:tcPr>
            <w:tcW w:w="1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587B9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500Hz</w:t>
            </w:r>
          </w:p>
        </w:tc>
        <w:tc>
          <w:tcPr>
            <w:tcW w:w="30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F7622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1.10～1.40</w:t>
            </w:r>
          </w:p>
        </w:tc>
      </w:tr>
      <w:tr w:rsidR="00C5213D" w14:paraId="273C3B45" w14:textId="77777777">
        <w:tc>
          <w:tcPr>
            <w:tcW w:w="1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46AB7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1000Hz</w:t>
            </w:r>
          </w:p>
        </w:tc>
        <w:tc>
          <w:tcPr>
            <w:tcW w:w="30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1EC08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1.10～1.40</w:t>
            </w:r>
          </w:p>
        </w:tc>
      </w:tr>
      <w:tr w:rsidR="00C5213D" w14:paraId="344543EB" w14:textId="77777777">
        <w:tc>
          <w:tcPr>
            <w:tcW w:w="1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202FB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2000Hz</w:t>
            </w:r>
          </w:p>
        </w:tc>
        <w:tc>
          <w:tcPr>
            <w:tcW w:w="30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51DAC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0.99～1.40</w:t>
            </w:r>
          </w:p>
        </w:tc>
      </w:tr>
      <w:tr w:rsidR="00C5213D" w14:paraId="4EFED336" w14:textId="77777777">
        <w:tc>
          <w:tcPr>
            <w:tcW w:w="19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C428F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4000Hz</w:t>
            </w:r>
          </w:p>
        </w:tc>
        <w:tc>
          <w:tcPr>
            <w:tcW w:w="30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41FB2" w14:textId="77777777" w:rsidR="00C5213D" w:rsidRDefault="00934BFF">
            <w:pPr>
              <w:widowControl/>
              <w:spacing w:line="500" w:lineRule="atLeast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0.88～1.40</w:t>
            </w:r>
          </w:p>
        </w:tc>
      </w:tr>
    </w:tbl>
    <w:p w14:paraId="389D04D2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2.发言系统：需要2种方式</w:t>
      </w:r>
    </w:p>
    <w:p w14:paraId="4755E4D5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A、手拉手有线方式，10个方柱形话筒,话筒之间采用网线连接。B、无线方式，4个手持式话筒，4个头戴式话筒。</w:t>
      </w:r>
    </w:p>
    <w:p w14:paraId="7D827AF3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（三）舞台灯光系统：</w:t>
      </w:r>
    </w:p>
    <w:p w14:paraId="3497F477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7台面光灯嵌入式安装，支持电动调节角度，调节范围在0~60度；</w:t>
      </w:r>
    </w:p>
    <w:p w14:paraId="66C75B9E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9台LED平板会议灯，满足主席台的基本会议照明需求；</w:t>
      </w:r>
    </w:p>
    <w:p w14:paraId="0387C0C8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20台LED染色灯，可根据不同娱乐活动需求，预设场景模式，营造活动氛围。</w:t>
      </w:r>
    </w:p>
    <w:p w14:paraId="41BAB286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舞台照度≥750lx，观众区照度≥500lx, 显色指数CRI≥85;室内整体灯光色温宜为3200K-5600K。</w:t>
      </w:r>
    </w:p>
    <w:p w14:paraId="7048721F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（四）视频会议系统</w:t>
      </w:r>
    </w:p>
    <w:p w14:paraId="11A15C12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视频会议系统支持腾讯、钉钉、Zoom等平台，视频信号支持接入移动云视讯；</w:t>
      </w:r>
    </w:p>
    <w:p w14:paraId="33A808C6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整个系统支持本地会议及培训录播；</w:t>
      </w:r>
    </w:p>
    <w:p w14:paraId="2F052EBA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会议摄像机20倍光学变焦，拍摄主席台特写画面不模糊，2个高清摄像头（1个配三脚架,1个顶部安装）。</w:t>
      </w:r>
    </w:p>
    <w:p w14:paraId="186C84F8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（五）会议预约、签到系统</w:t>
      </w:r>
    </w:p>
    <w:p w14:paraId="48BEF393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3个门口配备会议屏数量3台，显示会议状态及内容，会议预约系统无缝对接OA系统（致远）；</w:t>
      </w:r>
    </w:p>
    <w:p w14:paraId="559A9D34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7楼电梯厅门口LED屏替换掉，采用专业商显，支持信息发布功能。</w:t>
      </w:r>
    </w:p>
    <w:p w14:paraId="216C2EE3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（六）无线AP系统</w:t>
      </w:r>
    </w:p>
    <w:p w14:paraId="5CB408D7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观众区增设无线AP网络点位，配套POE交换机1台。</w:t>
      </w:r>
    </w:p>
    <w:p w14:paraId="5C8A18BA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714D5931" w14:textId="77777777" w:rsidR="00C5213D" w:rsidRDefault="00934BFF">
      <w:pPr>
        <w:numPr>
          <w:ilvl w:val="0"/>
          <w:numId w:val="1"/>
        </w:num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验收标准</w:t>
      </w:r>
    </w:p>
    <w:p w14:paraId="6BA57476" w14:textId="77777777" w:rsidR="00C5213D" w:rsidRDefault="00934BFF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参照《厅堂、体育场馆扩声系统设计规范》（GB/T 28049-2011）会议类扩声系统声学特性指标（二级）标准，提供混响时间，最大声压级，传声增益，声场不均匀度的数据检测，出具第三方检测报告。</w:t>
      </w:r>
    </w:p>
    <w:p w14:paraId="04287785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5739E22D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1A08C62D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00B25D22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571B7AFE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345F9058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09B2CC78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473A5B21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3CBBD219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705F3716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p w14:paraId="2D8B5500" w14:textId="77777777" w:rsidR="00C5213D" w:rsidRDefault="00C5213D">
      <w:pPr>
        <w:widowControl/>
        <w:spacing w:line="500" w:lineRule="atLeast"/>
        <w:rPr>
          <w:rFonts w:ascii="宋体" w:hAnsi="宋体" w:cs="宋体"/>
          <w:szCs w:val="21"/>
        </w:rPr>
      </w:pPr>
    </w:p>
    <w:p w14:paraId="59AB33A4" w14:textId="77777777" w:rsidR="00C5213D" w:rsidRDefault="00C5213D">
      <w:pPr>
        <w:widowControl/>
        <w:spacing w:line="500" w:lineRule="atLeast"/>
        <w:ind w:firstLineChars="200" w:firstLine="420"/>
        <w:rPr>
          <w:rFonts w:ascii="宋体" w:hAnsi="宋体" w:cs="宋体"/>
          <w:szCs w:val="21"/>
        </w:rPr>
      </w:pPr>
    </w:p>
    <w:sectPr w:rsidR="00C52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D857A" w14:textId="77777777" w:rsidR="00C8726A" w:rsidRDefault="00C8726A" w:rsidP="00FB4C16">
      <w:r>
        <w:separator/>
      </w:r>
    </w:p>
  </w:endnote>
  <w:endnote w:type="continuationSeparator" w:id="0">
    <w:p w14:paraId="158A030F" w14:textId="77777777" w:rsidR="00C8726A" w:rsidRDefault="00C8726A" w:rsidP="00FB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F4D90D" w14:textId="77777777" w:rsidR="00C8726A" w:rsidRDefault="00C8726A" w:rsidP="00FB4C16">
      <w:r>
        <w:separator/>
      </w:r>
    </w:p>
  </w:footnote>
  <w:footnote w:type="continuationSeparator" w:id="0">
    <w:p w14:paraId="7694761F" w14:textId="77777777" w:rsidR="00C8726A" w:rsidRDefault="00C8726A" w:rsidP="00FB4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40482"/>
    <w:multiLevelType w:val="multilevel"/>
    <w:tmpl w:val="0E640482"/>
    <w:lvl w:ilvl="0">
      <w:start w:val="1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60382F6E"/>
    <w:multiLevelType w:val="multilevel"/>
    <w:tmpl w:val="60382F6E"/>
    <w:lvl w:ilvl="0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diNWRmY2M4NzNmN2QzY2YwNDFmOTQzZGE3N2EwMTcifQ=="/>
  </w:docVars>
  <w:rsids>
    <w:rsidRoot w:val="21C5412C"/>
    <w:rsid w:val="0009402F"/>
    <w:rsid w:val="00380D99"/>
    <w:rsid w:val="00934BFF"/>
    <w:rsid w:val="00C5213D"/>
    <w:rsid w:val="00C6382B"/>
    <w:rsid w:val="00C8726A"/>
    <w:rsid w:val="00D66848"/>
    <w:rsid w:val="00D935AB"/>
    <w:rsid w:val="00FB4C16"/>
    <w:rsid w:val="00FF6A7E"/>
    <w:rsid w:val="04DC643E"/>
    <w:rsid w:val="09905A49"/>
    <w:rsid w:val="10BF35A3"/>
    <w:rsid w:val="18B645B0"/>
    <w:rsid w:val="21C5412C"/>
    <w:rsid w:val="236E52E9"/>
    <w:rsid w:val="269E134D"/>
    <w:rsid w:val="274E4B21"/>
    <w:rsid w:val="2978144F"/>
    <w:rsid w:val="3FBE7F13"/>
    <w:rsid w:val="3FC01EDD"/>
    <w:rsid w:val="46A936CA"/>
    <w:rsid w:val="49610D32"/>
    <w:rsid w:val="4F2A7049"/>
    <w:rsid w:val="512A5408"/>
    <w:rsid w:val="544F398C"/>
    <w:rsid w:val="56837A94"/>
    <w:rsid w:val="57907B14"/>
    <w:rsid w:val="5C5E1F3C"/>
    <w:rsid w:val="673D77EB"/>
    <w:rsid w:val="674A015A"/>
    <w:rsid w:val="68D67EF7"/>
    <w:rsid w:val="6EC76ECB"/>
    <w:rsid w:val="6F8D3371"/>
    <w:rsid w:val="76740D50"/>
    <w:rsid w:val="7D90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686D3A"/>
  <w15:docId w15:val="{CE6ED732-5DE5-43BE-9EAA-523F982A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sz w:val="21"/>
      <w:szCs w:val="24"/>
    </w:rPr>
  </w:style>
  <w:style w:type="paragraph" w:styleId="3">
    <w:name w:val="heading 3"/>
    <w:basedOn w:val="a"/>
    <w:next w:val="a"/>
    <w:qFormat/>
    <w:pPr>
      <w:keepNext/>
      <w:keepLines/>
      <w:spacing w:before="360" w:after="120"/>
      <w:jc w:val="left"/>
      <w:outlineLvl w:val="2"/>
    </w:pPr>
    <w:rPr>
      <w:rFonts w:ascii="宋体"/>
      <w:b/>
      <w:sz w:val="24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360" w:lineRule="auto"/>
      <w:ind w:firstLine="570"/>
    </w:pPr>
    <w:rPr>
      <w:sz w:val="24"/>
    </w:rPr>
  </w:style>
  <w:style w:type="paragraph" w:styleId="a4">
    <w:name w:val="Plain Text"/>
    <w:basedOn w:val="a"/>
    <w:qFormat/>
    <w:rPr>
      <w:rFonts w:ascii="宋体" w:hAnsi="Courier New" w:hint="eastAsia"/>
      <w:szCs w:val="20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paragraph" w:customStyle="1" w:styleId="a6">
    <w:name w:val="图例"/>
    <w:basedOn w:val="a"/>
    <w:qFormat/>
    <w:pPr>
      <w:spacing w:before="120" w:after="120" w:line="360" w:lineRule="auto"/>
      <w:jc w:val="center"/>
    </w:pPr>
    <w:rPr>
      <w:rFonts w:eastAsia="仿宋_GB2312"/>
      <w:b/>
      <w:sz w:val="24"/>
      <w:szCs w:val="20"/>
    </w:rPr>
  </w:style>
  <w:style w:type="paragraph" w:styleId="a7">
    <w:name w:val="List Paragraph"/>
    <w:basedOn w:val="a"/>
    <w:uiPriority w:val="34"/>
    <w:qFormat/>
    <w:pPr>
      <w:ind w:firstLine="420"/>
    </w:pPr>
    <w:rPr>
      <w:rFonts w:ascii="Calibri" w:hAnsi="Calibri"/>
      <w:szCs w:val="22"/>
    </w:rPr>
  </w:style>
  <w:style w:type="paragraph" w:styleId="a8">
    <w:name w:val="header"/>
    <w:basedOn w:val="a"/>
    <w:link w:val="a9"/>
    <w:rsid w:val="00FB4C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rsid w:val="00FB4C16"/>
    <w:rPr>
      <w:sz w:val="18"/>
      <w:szCs w:val="18"/>
    </w:rPr>
  </w:style>
  <w:style w:type="paragraph" w:styleId="aa">
    <w:name w:val="footer"/>
    <w:basedOn w:val="a"/>
    <w:link w:val="ab"/>
    <w:rsid w:val="00FB4C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rsid w:val="00FB4C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227</Words>
  <Characters>1299</Characters>
  <Application>Microsoft Office Word</Application>
  <DocSecurity>0</DocSecurity>
  <Lines>10</Lines>
  <Paragraphs>3</Paragraphs>
  <ScaleCrop>false</ScaleCrop>
  <Company>china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办公</dc:creator>
  <cp:lastModifiedBy>Administrator</cp:lastModifiedBy>
  <cp:revision>3</cp:revision>
  <dcterms:created xsi:type="dcterms:W3CDTF">2024-07-26T08:19:00Z</dcterms:created>
  <dcterms:modified xsi:type="dcterms:W3CDTF">2024-07-29T05:54:00Z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B92467E6C4144B76AD0AA6A1F21F62A9_13</vt:lpwstr>
  </property>
</Properties>
</file>